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D200" w14:textId="77777777" w:rsidR="009839A5" w:rsidRDefault="009839A5" w:rsidP="009839A5">
      <w:pPr>
        <w:rPr>
          <w:i/>
          <w:iCs/>
        </w:rPr>
      </w:pPr>
      <w:r>
        <w:rPr>
          <w:i/>
          <w:iCs/>
        </w:rPr>
        <w:t xml:space="preserve">Poštovane/i, </w:t>
      </w:r>
    </w:p>
    <w:p w14:paraId="4ED326D6" w14:textId="77777777" w:rsidR="009839A5" w:rsidRDefault="009839A5" w:rsidP="009839A5"/>
    <w:p w14:paraId="1585BB9B" w14:textId="77777777" w:rsidR="009839A5" w:rsidRDefault="009839A5" w:rsidP="009839A5">
      <w:r>
        <w:t>Zakon o izmjenama i dopunama Općeg poreznog zakona (​​NN 152/24) stupio je na snagu 1. siječnja ​2025. godine. Izmjenama </w:t>
      </w:r>
      <w:hyperlink r:id="rId5" w:anchor="id=pro1625" w:history="1">
        <w:r>
          <w:rPr>
            <w:rStyle w:val="Hiperveza"/>
          </w:rPr>
          <w:t>Zakona​</w:t>
        </w:r>
      </w:hyperlink>
      <w:r>
        <w:t> proširuje se ​</w:t>
      </w:r>
      <w:r>
        <w:rPr>
          <w:b/>
          <w:bCs/>
        </w:rPr>
        <w:t>obveza dostave poreznih prijava i drugih podataka elektroničkim putem</w:t>
      </w:r>
      <w:r>
        <w:t xml:space="preserve"> (putem sustava </w:t>
      </w:r>
      <w:proofErr w:type="spellStart"/>
      <w:r>
        <w:rPr>
          <w:b/>
          <w:bCs/>
        </w:rPr>
        <w:t>ePorezna</w:t>
      </w:r>
      <w:proofErr w:type="spellEnd"/>
      <w:r>
        <w:t xml:space="preserve"> ili putem mobilne aplikacije </w:t>
      </w:r>
      <w:proofErr w:type="spellStart"/>
      <w:r>
        <w:rPr>
          <w:b/>
          <w:bCs/>
        </w:rPr>
        <w:t>mPorezna</w:t>
      </w:r>
      <w:proofErr w:type="spellEnd"/>
      <w:r>
        <w:t xml:space="preserve">)između ostalih poreznih obveznika  i za </w:t>
      </w:r>
      <w:r>
        <w:rPr>
          <w:b/>
          <w:bCs/>
        </w:rPr>
        <w:t>obveznike poreza na dohodak od iznajmljivanja kuća, stanova, soba i postelja te objekata za robinzonski smještaj putnicima i turistima i organiziranja kampova.</w:t>
      </w:r>
    </w:p>
    <w:p w14:paraId="467AF74F" w14:textId="77777777" w:rsidR="009839A5" w:rsidRDefault="009839A5" w:rsidP="009839A5">
      <w:pPr>
        <w:ind w:left="1080"/>
      </w:pPr>
    </w:p>
    <w:p w14:paraId="766E6EE8" w14:textId="77777777" w:rsidR="009839A5" w:rsidRDefault="009839A5" w:rsidP="009839A5">
      <w:r>
        <w:t xml:space="preserve">Kako bi se omogućila prilagodba navedenim izmjenama, obrasci se iznimno tijekom mjeseca </w:t>
      </w:r>
      <w:r>
        <w:rPr>
          <w:b/>
          <w:bCs/>
        </w:rPr>
        <w:t>siječnja 2025. godine</w:t>
      </w:r>
      <w:r>
        <w:t xml:space="preserve"> mogu podnositi u papirnatom obliku.</w:t>
      </w:r>
    </w:p>
    <w:p w14:paraId="05A1B8FD" w14:textId="77777777" w:rsidR="009839A5" w:rsidRDefault="009839A5" w:rsidP="009839A5"/>
    <w:p w14:paraId="28427B62" w14:textId="77777777" w:rsidR="009839A5" w:rsidRDefault="009839A5" w:rsidP="009839A5">
      <w:pPr>
        <w:rPr>
          <w:color w:val="FF0000"/>
          <w:u w:val="single"/>
        </w:rPr>
      </w:pPr>
      <w:r>
        <w:rPr>
          <w:color w:val="FF0000"/>
          <w:u w:val="single"/>
        </w:rPr>
        <w:t>Ukoliko u sljedećoj predaji propisanih obrazaca porezni obveznici ne bi udovoljili ovoj zakonskoj obvezi, Porezna uprava će pokretati odgovarajuće prekršajne postupke.</w:t>
      </w:r>
    </w:p>
    <w:p w14:paraId="19841E4B" w14:textId="77777777" w:rsidR="009839A5" w:rsidRDefault="009839A5" w:rsidP="009839A5">
      <w:pPr>
        <w:rPr>
          <w:color w:val="FF0000"/>
          <w:u w:val="single"/>
        </w:rPr>
      </w:pPr>
    </w:p>
    <w:p w14:paraId="7C8AE5DB" w14:textId="77777777" w:rsidR="009839A5" w:rsidRDefault="009839A5" w:rsidP="009839A5">
      <w:r>
        <w:t>Koristim priliku obavijestiti Vas o izmjenama Poreza na dodanu vrijednost (PDV), a koje bi mogle zanimati iznajmljivače:</w:t>
      </w:r>
    </w:p>
    <w:p w14:paraId="77A0EEC1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</w:rPr>
      </w:pPr>
      <w:hyperlink r:id="rId6" w:anchor="id=pro1467" w:history="1">
        <w:r>
          <w:rPr>
            <w:rStyle w:val="Hiperveza"/>
            <w:rFonts w:eastAsia="Times New Roman"/>
          </w:rPr>
          <w:t>​Zakon o porezu na dodanu vrijednost​</w:t>
        </w:r>
      </w:hyperlink>
      <w:r>
        <w:rPr>
          <w:rFonts w:eastAsia="Times New Roman"/>
        </w:rPr>
        <w:t>​</w:t>
      </w:r>
    </w:p>
    <w:p w14:paraId="73F4470A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  <w:lang w:eastAsia="hr-HR"/>
        </w:rPr>
      </w:pPr>
      <w:r>
        <w:rPr>
          <w:rFonts w:eastAsia="Times New Roman"/>
          <w:b/>
          <w:bCs/>
        </w:rPr>
        <w:t>Prag za upis u sustav PDV-a podiže se na 60.000,00 eura.</w:t>
      </w:r>
      <w:r>
        <w:rPr>
          <w:rFonts w:eastAsia="Times New Roman"/>
        </w:rPr>
        <w:t xml:space="preserve"> Porezni obveznici </w:t>
      </w:r>
      <w:r>
        <w:rPr>
          <w:rFonts w:eastAsia="Times New Roman"/>
          <w:b/>
          <w:bCs/>
        </w:rPr>
        <w:t>do 15. siječnja 2025.</w:t>
      </w:r>
      <w:r>
        <w:rPr>
          <w:rFonts w:eastAsia="Times New Roman"/>
        </w:rPr>
        <w:t xml:space="preserve"> mogu zatražiti izlaz iz sustava PDV-a ako u 2024. godini nisu prešli prag od 60.000,00 eura. Porezni obveznici koji tijekom prosinca 2024. ostvare isporuke u vrijednosti većoj od 40.000,00 eura, ali manjoj od 60.000,00 eura, nemaju obvezu upisa u sustav PDV-a od 1. siječnja 2025.</w:t>
      </w:r>
    </w:p>
    <w:p w14:paraId="7D563E3E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Porezni obveznik upisuje se u sustav PDV-a </w:t>
      </w:r>
      <w:r>
        <w:rPr>
          <w:rFonts w:eastAsia="Times New Roman"/>
          <w:b/>
          <w:bCs/>
        </w:rPr>
        <w:t>od prvoga dana koji slijedi nakon dana prelaska praga od 60.000,00 eura.</w:t>
      </w:r>
    </w:p>
    <w:p w14:paraId="709EDB37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Tuzemni porezni obveznici mogu zatražiti da ne budu upisani u sustav PDV-a u drugim državama članicama EU-a ako njihova ukupna vrijednost isporuka ne prelazi 100.000,00 eura (prag Unije) i nacionalni prag za upis u sustav PDV-a dotičnih država članica.</w:t>
      </w:r>
    </w:p>
    <w:p w14:paraId="194CAF37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Usluge kao što su pristup kulturnim, sportskim, obrazovnim i sličnim događanjima koje se prenose na internetu ili se stavljaju na raspolaganje kupcima u virtualnom obliku oporezuju se u državi članici potrošnje.</w:t>
      </w:r>
    </w:p>
    <w:p w14:paraId="2DEA898E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Povrat PDV-a omogućuje se poreznim obveznicima koji nemaju sjedište na području EU-a.</w:t>
      </w:r>
    </w:p>
    <w:p w14:paraId="19ABC562" w14:textId="77777777" w:rsidR="009839A5" w:rsidRDefault="009839A5" w:rsidP="009839A5">
      <w:pPr>
        <w:pStyle w:val="Odlomakpopis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Omogućava se ispravak odbitka pretporeza na temelju rješenja kako bi bila osigurana neutralnost PDV-a za porezne obveznike.</w:t>
      </w:r>
    </w:p>
    <w:p w14:paraId="6DC00E4D" w14:textId="77777777" w:rsidR="009839A5" w:rsidRDefault="009839A5" w:rsidP="009839A5"/>
    <w:p w14:paraId="7BF187AC" w14:textId="77777777" w:rsidR="009839A5" w:rsidRDefault="009839A5" w:rsidP="009839A5">
      <w:pPr>
        <w:rPr>
          <w:u w:val="single"/>
        </w:rPr>
      </w:pPr>
      <w:r>
        <w:rPr>
          <w:u w:val="single"/>
        </w:rPr>
        <w:t>Molim Vas da o izmjenama obavijestite iznajmljivače s Vašeg područja kako bi se prilagodili zakonskim promjenama i izbjegli prekršajne postupke.</w:t>
      </w:r>
    </w:p>
    <w:p w14:paraId="7BEEBA4E" w14:textId="77777777" w:rsidR="009839A5" w:rsidRDefault="009839A5" w:rsidP="009839A5">
      <w:pPr>
        <w:rPr>
          <w:color w:val="FF0000"/>
          <w:u w:val="single"/>
        </w:rPr>
      </w:pPr>
    </w:p>
    <w:p w14:paraId="106E470A" w14:textId="77777777" w:rsidR="009839A5" w:rsidRDefault="009839A5" w:rsidP="009839A5">
      <w:pPr>
        <w:rPr>
          <w:color w:val="FF0000"/>
          <w:u w:val="single"/>
        </w:rPr>
      </w:pPr>
    </w:p>
    <w:p w14:paraId="71A7F21E" w14:textId="77777777" w:rsidR="009839A5" w:rsidRDefault="009839A5" w:rsidP="009839A5">
      <w:pPr>
        <w:rPr>
          <w:b/>
          <w:bCs/>
          <w:color w:val="1F497D"/>
          <w:lang w:eastAsia="hr-HR"/>
        </w:rPr>
      </w:pPr>
      <w:r>
        <w:rPr>
          <w:rFonts w:ascii="Arial" w:hAnsi="Arial" w:cs="Arial"/>
          <w:noProof/>
          <w:color w:val="000000"/>
          <w:lang w:eastAsia="hr-HR"/>
        </w:rPr>
        <w:drawing>
          <wp:inline distT="0" distB="0" distL="0" distR="0" wp14:anchorId="223B64E5" wp14:editId="5B9A6D7F">
            <wp:extent cx="1895475" cy="762000"/>
            <wp:effectExtent l="0" t="0" r="9525" b="0"/>
            <wp:docPr id="2" name="Slika 3" descr="PU_logo_mail_potpis_h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U_logo_mail_potpis_h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5E89" w14:textId="77777777" w:rsidR="009839A5" w:rsidRDefault="009839A5" w:rsidP="009839A5">
      <w:pPr>
        <w:rPr>
          <w:b/>
          <w:bCs/>
          <w:color w:val="1F497D"/>
          <w:lang w:eastAsia="hr-HR"/>
        </w:rPr>
      </w:pPr>
      <w:r>
        <w:rPr>
          <w:b/>
          <w:bCs/>
          <w:color w:val="1F497D"/>
          <w:lang w:eastAsia="hr-HR"/>
        </w:rPr>
        <w:t>IVAN MILAS</w:t>
      </w:r>
    </w:p>
    <w:p w14:paraId="50378E80" w14:textId="77777777" w:rsidR="009839A5" w:rsidRDefault="009839A5" w:rsidP="009839A5">
      <w:pPr>
        <w:rPr>
          <w:color w:val="1F497D"/>
          <w:lang w:eastAsia="hr-HR"/>
        </w:rPr>
      </w:pPr>
      <w:r>
        <w:rPr>
          <w:color w:val="1F497D"/>
          <w:lang w:eastAsia="hr-HR"/>
        </w:rPr>
        <w:t>Voditelj Ispostave</w:t>
      </w:r>
    </w:p>
    <w:p w14:paraId="7E62B171" w14:textId="77777777" w:rsidR="009839A5" w:rsidRDefault="009839A5" w:rsidP="009839A5">
      <w:pPr>
        <w:rPr>
          <w:color w:val="1F497D"/>
          <w:lang w:eastAsia="hr-HR"/>
        </w:rPr>
      </w:pPr>
      <w:r>
        <w:rPr>
          <w:color w:val="1F497D"/>
          <w:lang w:eastAsia="hr-HR"/>
        </w:rPr>
        <w:t>Porezna uprava-Područni ured Split</w:t>
      </w:r>
    </w:p>
    <w:p w14:paraId="2B3E404D" w14:textId="77777777" w:rsidR="009839A5" w:rsidRDefault="009839A5" w:rsidP="009839A5">
      <w:pPr>
        <w:rPr>
          <w:color w:val="1F497D"/>
          <w:lang w:eastAsia="hr-HR"/>
        </w:rPr>
      </w:pPr>
      <w:r>
        <w:rPr>
          <w:color w:val="1F497D"/>
          <w:lang w:eastAsia="hr-HR"/>
        </w:rPr>
        <w:t>Ispostava Makarska</w:t>
      </w:r>
    </w:p>
    <w:p w14:paraId="0E359461" w14:textId="77777777" w:rsidR="009839A5" w:rsidRDefault="009839A5" w:rsidP="009839A5">
      <w:pPr>
        <w:rPr>
          <w:color w:val="1F497D"/>
          <w:lang w:eastAsia="hr-HR"/>
        </w:rPr>
      </w:pPr>
      <w:r>
        <w:rPr>
          <w:color w:val="1F497D"/>
          <w:lang w:eastAsia="hr-HR"/>
        </w:rPr>
        <w:t>Obala Kralja Tomislava 1</w:t>
      </w:r>
    </w:p>
    <w:p w14:paraId="388A0EE0" w14:textId="77777777" w:rsidR="009839A5" w:rsidRDefault="009839A5" w:rsidP="009839A5">
      <w:pPr>
        <w:rPr>
          <w:b/>
          <w:bCs/>
          <w:color w:val="1F497D"/>
          <w:lang w:eastAsia="hr-HR"/>
        </w:rPr>
      </w:pPr>
      <w:r>
        <w:rPr>
          <w:color w:val="1F497D"/>
          <w:lang w:eastAsia="hr-HR"/>
        </w:rPr>
        <w:t>+385 (0) 21 680 750</w:t>
      </w:r>
    </w:p>
    <w:p w14:paraId="236985B6" w14:textId="77777777" w:rsidR="009839A5" w:rsidRDefault="009839A5" w:rsidP="009839A5">
      <w:pPr>
        <w:rPr>
          <w:color w:val="1F497D"/>
          <w:lang w:eastAsia="hr-HR"/>
        </w:rPr>
      </w:pPr>
      <w:hyperlink r:id="rId10" w:history="1">
        <w:r>
          <w:rPr>
            <w:rStyle w:val="Hiperveza"/>
            <w:lang w:eastAsia="hr-HR"/>
          </w:rPr>
          <w:t>ivan.milas@porezna-uprava.hr</w:t>
        </w:r>
      </w:hyperlink>
    </w:p>
    <w:p w14:paraId="668AF7A6" w14:textId="77777777" w:rsidR="001218CD" w:rsidRDefault="001218CD"/>
    <w:sectPr w:rsidR="0012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0278B"/>
    <w:multiLevelType w:val="hybridMultilevel"/>
    <w:tmpl w:val="EC4A5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231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A5"/>
    <w:rsid w:val="001218CD"/>
    <w:rsid w:val="00187FE3"/>
    <w:rsid w:val="00546FAA"/>
    <w:rsid w:val="0098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1934"/>
  <w15:chartTrackingRefBased/>
  <w15:docId w15:val="{86C6FFBE-3B53-41B6-BC37-A866883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A5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839A5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98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orezna-uprava.hr/index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ezna-uprava.hr/hr_propisi/_layouts/15/in2.vuk2019.sp.propisi.intranet/propisi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orezna-uprava.hr/hr_propisi/_layouts/15/in2.vuk2019.sp.propisi.intranet/propisi.aspx" TargetMode="External"/><Relationship Id="rId10" Type="http://schemas.openxmlformats.org/officeDocument/2006/relationships/hyperlink" Target="mailto:ivan.milas@porezna-uprava.h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B6266.E6F8255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2025-01-09T12:09:00Z</dcterms:created>
  <dcterms:modified xsi:type="dcterms:W3CDTF">2025-01-09T12:11:00Z</dcterms:modified>
</cp:coreProperties>
</file>